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both"/>
        <w:outlineLvl w:val="0"/>
        <w:rPr>
          <w:rFonts w:eastAsia="Times New Roman" w:cs="Times New Roman" w:ascii="Arial" w:hAnsi="Arial"/>
          <w:b/>
          <w:bCs/>
          <w:sz w:val="48"/>
          <w:szCs w:val="48"/>
          <w:lang w:eastAsia="pl-PL"/>
        </w:rPr>
      </w:pPr>
      <w:r>
        <w:rPr>
          <w:rFonts w:eastAsia="Times New Roman" w:cs="Times New Roman" w:ascii="Arial" w:hAnsi="Arial"/>
          <w:b/>
          <w:bCs/>
          <w:sz w:val="48"/>
          <w:szCs w:val="48"/>
          <w:lang w:eastAsia="pl-PL"/>
        </w:rPr>
        <w:t>Karta informacyjna sprawy</w:t>
      </w:r>
    </w:p>
    <w:p>
      <w:pPr>
        <w:pStyle w:val="Normal"/>
        <w:spacing w:lineRule="auto" w:line="240" w:beforeAutospacing="1" w:afterAutospacing="1"/>
        <w:jc w:val="both"/>
        <w:outlineLvl w:val="1"/>
        <w:rPr>
          <w:rFonts w:eastAsia="Times New Roman" w:cs="Times New Roman" w:ascii="Arial" w:hAnsi="Arial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eastAsia="Times New Roman" w:cs="Times New Roman" w:ascii="Arial" w:hAnsi="Arial"/>
          <w:b/>
          <w:bCs/>
          <w:sz w:val="36"/>
          <w:szCs w:val="36"/>
          <w:lang w:eastAsia="pl-PL"/>
        </w:rPr>
        <w:t>Podatek od nieruchomości osób fizycznych - naliczanie podatku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bookmarkStart w:id="1" w:name="opis"/>
      <w:bookmarkStart w:id="2" w:name="_GoBack1"/>
      <w:bookmarkEnd w:id="1"/>
      <w:bookmarkEnd w:id="2"/>
      <w:r>
        <w:rPr>
          <w:rFonts w:eastAsia="Times New Roman" w:cs="Times New Roman" w:ascii="Arial" w:hAnsi="Arial"/>
          <w:sz w:val="24"/>
          <w:szCs w:val="24"/>
          <w:lang w:eastAsia="pl-PL"/>
        </w:rPr>
        <w:t>Opis procedury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b/>
          <w:bCs/>
          <w:lang w:eastAsia="pl-PL"/>
        </w:rPr>
        <w:t>Podatnikami</w:t>
      </w:r>
      <w:r>
        <w:rPr>
          <w:rFonts w:eastAsia="Times New Roman" w:cs="Times New Roman" w:ascii="Arial" w:hAnsi="Arial"/>
          <w:lang w:eastAsia="pl-PL"/>
        </w:rPr>
        <w:t xml:space="preserve"> podatku od nieruchomości są osoby fizyczne, osoby prawne, jednostki organizacyjne, w tym spółki nieposiadające osobowości prawnej, będące: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1.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 </w:t>
      </w:r>
      <w:r>
        <w:rPr>
          <w:rFonts w:eastAsia="Times New Roman" w:cs="Times New Roman" w:ascii="Arial" w:hAnsi="Arial"/>
          <w:lang w:eastAsia="pl-PL"/>
        </w:rPr>
        <w:t>właścicielami nieruchomości lub obiektów budowlanych;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2.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 </w:t>
      </w:r>
      <w:r>
        <w:rPr>
          <w:rFonts w:eastAsia="Times New Roman" w:cs="Times New Roman" w:ascii="Arial" w:hAnsi="Arial"/>
          <w:lang w:eastAsia="pl-PL"/>
        </w:rPr>
        <w:t>posiadaczami samoistnymi nieruchomości lub obiektów budowlanych;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3.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 </w:t>
      </w:r>
      <w:r>
        <w:rPr>
          <w:rFonts w:eastAsia="Times New Roman" w:cs="Times New Roman" w:ascii="Arial" w:hAnsi="Arial"/>
          <w:lang w:eastAsia="pl-PL"/>
        </w:rPr>
        <w:t>użytkownikami wieczystymi gruntów;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4.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 </w:t>
      </w:r>
      <w:r>
        <w:rPr>
          <w:rFonts w:eastAsia="Times New Roman" w:cs="Times New Roman" w:ascii="Arial" w:hAnsi="Arial"/>
          <w:lang w:eastAsia="pl-PL"/>
        </w:rPr>
        <w:t xml:space="preserve">posiadaczami nieruchomości lub ich części albo obiektów budowlanych lub ich części, stanowiących własność Skarbu Państwa lub jednostki samorządu terytorialnego, jeżeli posiadanie wynika z umowy zawartej z właścicielem, Agencją Własności Rolnej Skarbu Państwa lub z innego tytułu prawnego (z wyjątkiem posiadania przez osoby fizyczne lokali mieszkalnych niestanowiących odrębnych nieruchomości) lub jest bez tytułu prawnego.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sz w:val="24"/>
          <w:szCs w:val="24"/>
          <w:u w:val="single"/>
          <w:lang w:eastAsia="pl-PL"/>
        </w:rPr>
        <w:t>Podstawę opodatkowania stanowi: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1.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       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dla gruntów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– powierzchnia tych gruntów.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2.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       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dla budynków lub ich części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– powierzchnia użytkowa (z tym, że powierzchnie pomieszczeń lub ich części oraz część kondygnacji o wysokości w świetle od 1,40 m do 2,20 m zalicza się do powierzchni użytkowej budynku w 50 %, a jeżeli wysokość jest mniejsza niż 1,40 m, powierzchnię tę pomija się).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3.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       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dla budowli lub ich części związanych z prowadzeniem działalności gospodarczej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(z zastrzeżeniem art. 4 ust. 4-6 ustawy o podatkach i opłatach lokalnych) – wartość, o której mowa w przepisach o podatkach dochodowych, ustalona na dzień 1 stycznia roku podatkowego, stanowiąca podstawę obliczania amortyzacji w tym roku, niepomniejszona o odpisy amortyzacyjne, a w przypadku budowli całkowicie zamortyzowanych - ich wartość z dnia 1 stycznia roku, w którym dokonano ostatniego odpisu amortyzacyjnego.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a)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        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>jeżeli budowla, jest przedmiotem umowy leasingu i odpisów amortyzacyjnych dokonuje korzystający, w przypadku jej przejęcia przez właściciela, do celów określenia podstawy opodatkowania przyjmuje się wartość początkową przed zawarciem pierwszej umowy leasingu, zaktualizowaną i powiększoną o dokonane ulepszenia oraz niepomniejszoną o spłatę wartości początkowej (art. 4 ust. 4 ww. ustawy),</w:t>
      </w:r>
      <w:r>
        <w:rPr>
          <w:rFonts w:eastAsia="Times New Roman" w:cs="Times New Roman" w:ascii="Arial" w:hAnsi="Arial"/>
          <w:lang w:eastAsia="pl-PL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851" w:right="0" w:hanging="425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b)</w:t>
      </w:r>
      <w:r>
        <w:rPr>
          <w:rFonts w:eastAsia="Times New Roman" w:cs="Times New Roman" w:ascii="Arial" w:hAnsi="Arial"/>
          <w:sz w:val="14"/>
          <w:szCs w:val="14"/>
          <w:lang w:eastAsia="pl-PL"/>
        </w:rPr>
        <w:t xml:space="preserve">       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jeżeli od budowli lub ich części, nie dokonuje się odpisów amortyzacyjnych - podstawę opodatkowania stanowi ich wartość rynkowa, określona przez podatnika na dzień powstania obowiązku podatkowego (art. 4 ust. 5 ww. ustawy); </w:t>
        <w:br/>
        <w:t>jeżeli ww. budowle zostały ulepszone lub zgodnie z przepisami o podatkach dochodowych nastąpiła aktualizacja wyceny środków trwałych - podstawę opodatkowania stanowi ich wartość rynkowa ustalona na dzień 1 stycznia roku podatkowego następującego po roku, w którym dokonano ulepszenia lub aktualizacji wyceny środków trwałych.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851" w:right="0" w:hanging="425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b/>
          <w:bCs/>
          <w:lang w:eastAsia="pl-PL"/>
        </w:rPr>
        <w:t>Obowiązek podatkowy</w:t>
      </w:r>
      <w:r>
        <w:rPr>
          <w:rFonts w:eastAsia="Times New Roman" w:cs="Times New Roman" w:ascii="Arial" w:hAnsi="Arial"/>
          <w:lang w:eastAsia="pl-PL"/>
        </w:rPr>
        <w:t xml:space="preserve"> powstaje od pierwszego dnia miesiąca następującego po miesiącu, w którym powstały okoliczności uzasadniające powstanie tego obowiązku. Jeżeli okolicznością, od której uzależniony jest obowiązek podatkowy, jest istnienie budowli albo budynku lub jego części, obowiązek podatkowy powstaje z dniem 1 stycznia roku następującego po roku, w którym budowa została zakończona, albo w którym rozpoczęto użytkowanie budynku lub jego części przed ich ostatecznym wykończeniem. Obowiązek podatkowy wygasa z upływem miesiąca, w którym ustały okoliczności uzasadniające ten obowiązek, np. sprzedaż nieruchomości.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b/>
          <w:bCs/>
          <w:lang w:eastAsia="pl-PL"/>
        </w:rPr>
      </w:pPr>
      <w:r>
        <w:rPr>
          <w:rFonts w:eastAsia="Times New Roman" w:cs="Times New Roman" w:ascii="Arial" w:hAnsi="Arial"/>
          <w:b/>
          <w:bCs/>
          <w:lang w:eastAsia="pl-PL"/>
        </w:rPr>
        <w:t>Terminy płatności: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lang w:eastAsia="pl-PL"/>
        </w:rPr>
        <w:t>W podatku od nieruchomości obowiązują cztery terminy płatności: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15 marca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15 maja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15 września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15 listopada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Wpłat podatku dokonuje się na podstawie decyzji ustalającej wymiar podatku, na numer rachunku bankowego wskazanego w decyzji.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Arial" w:hAnsi="Arial"/>
          <w:sz w:val="24"/>
          <w:szCs w:val="24"/>
          <w:lang w:eastAsia="pl-PL"/>
        </w:rPr>
      </w:pPr>
      <w:bookmarkStart w:id="3" w:name="wynik_zalatwienia"/>
      <w:bookmarkEnd w:id="3"/>
      <w:r>
        <w:rPr>
          <w:rFonts w:eastAsia="Times New Roman" w:cs="Times New Roman" w:ascii="Arial" w:hAnsi="Arial"/>
          <w:sz w:val="24"/>
          <w:szCs w:val="24"/>
          <w:lang w:eastAsia="pl-PL"/>
        </w:rPr>
        <w:t>Efekt załatwienia sprawy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Arial" w:hAnsi="Arial"/>
          <w:lang w:eastAsia="pl-PL"/>
        </w:rPr>
      </w:pPr>
      <w:r>
        <w:rPr>
          <w:rFonts w:eastAsia="Times New Roman" w:cs="Times New Roman" w:ascii="Arial" w:hAnsi="Arial"/>
          <w:lang w:eastAsia="pl-PL"/>
        </w:rPr>
        <w:t>Wymiar podatku od nieruchomości dla osób fizycznych ustala Wójt Gminy Świdwin w drodze decyzji.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ba2f2f"/>
    <w:basedOn w:val="Normal"/>
    <w:pPr>
      <w:outlineLvl w:val="0"/>
    </w:pPr>
    <w:rPr/>
  </w:style>
  <w:style w:type="paragraph" w:styleId="Nagwek2">
    <w:name w:val="Nagłówek 2"/>
    <w:uiPriority w:val="9"/>
    <w:qFormat/>
    <w:link w:val="Nagwek2Znak"/>
    <w:rsid w:val="00ba2f2f"/>
    <w:basedOn w:val="Normal"/>
    <w:pPr>
      <w:outlineLvl w:val="1"/>
    </w:pPr>
    <w:rPr/>
  </w:style>
  <w:style w:type="paragraph" w:styleId="Nagwek3">
    <w:name w:val="Nagłówek 3"/>
    <w:uiPriority w:val="9"/>
    <w:qFormat/>
    <w:link w:val="Nagwek3Znak"/>
    <w:rsid w:val="00ba2f2f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ba2f2f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2Znak" w:customStyle="1">
    <w:name w:val="Nagłówek 2 Znak"/>
    <w:uiPriority w:val="9"/>
    <w:link w:val="Nagwek2"/>
    <w:rsid w:val="00ba2f2f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uiPriority w:val="9"/>
    <w:link w:val="Nagwek3"/>
    <w:rsid w:val="00ba2f2f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uiPriority w:val="99"/>
    <w:semiHidden/>
    <w:unhideWhenUsed/>
    <w:rsid w:val="00ba2f2f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ba2f2f"/>
    <w:basedOn w:val="DefaultParagraphFont"/>
    <w:rPr>
      <w:b/>
      <w:b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itle" w:customStyle="1">
    <w:name w:val="title"/>
    <w:rsid w:val="00ba2f2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uiPriority w:val="99"/>
    <w:semiHidden/>
    <w:unhideWhenUsed/>
    <w:rsid w:val="00ba2f2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2015-09-24T08:56:00Z</dcterms:created>
  <dc:creator>Zapas</dc:creator>
  <dc:language>pl-PL</dc:language>
  <cp:lastModifiedBy>Zapas</cp:lastModifiedBy>
  <dcterms:modified xsi:type="dcterms:W3CDTF">2015-09-24T08:57:00Z</dcterms:modified>
  <cp:revision>1</cp:revision>
</cp:coreProperties>
</file>